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/>
          <w:color w:val="auto"/>
          <w:szCs w:val="21"/>
          <w:highlight w:val="none"/>
        </w:rPr>
      </w:pPr>
    </w:p>
    <w:p>
      <w:pPr>
        <w:jc w:val="center"/>
        <w:rPr>
          <w:rFonts w:hint="eastAsia" w:ascii="宋体" w:hAnsi="宋体"/>
          <w:color w:val="auto"/>
          <w:sz w:val="52"/>
          <w:szCs w:val="52"/>
          <w:highlight w:val="none"/>
        </w:rPr>
      </w:pPr>
    </w:p>
    <w:p>
      <w:pPr>
        <w:jc w:val="center"/>
        <w:rPr>
          <w:rFonts w:ascii="Times New Roman" w:hAnsi="Times New Roman" w:eastAsia="方正小标宋简体"/>
          <w:color w:val="auto"/>
          <w:sz w:val="56"/>
          <w:szCs w:val="56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56"/>
          <w:szCs w:val="56"/>
          <w:highlight w:val="none"/>
        </w:rPr>
        <w:t>天 津 市 质 量 攻 关</w:t>
      </w:r>
    </w:p>
    <w:p>
      <w:pPr>
        <w:jc w:val="center"/>
        <w:rPr>
          <w:rFonts w:ascii="Times New Roman" w:hAnsi="Times New Roman" w:eastAsia="方正小标宋简体"/>
          <w:color w:val="auto"/>
          <w:sz w:val="56"/>
          <w:szCs w:val="56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56"/>
          <w:szCs w:val="56"/>
          <w:highlight w:val="none"/>
        </w:rPr>
        <w:t>项 目 申 报 书</w:t>
      </w:r>
    </w:p>
    <w:p>
      <w:pPr>
        <w:jc w:val="center"/>
        <w:rPr>
          <w:rFonts w:hint="eastAsia" w:ascii="宋体" w:hAnsi="宋体"/>
          <w:color w:val="auto"/>
          <w:sz w:val="52"/>
          <w:szCs w:val="52"/>
          <w:highlight w:val="none"/>
        </w:rPr>
      </w:pPr>
    </w:p>
    <w:p>
      <w:pPr>
        <w:jc w:val="center"/>
        <w:rPr>
          <w:rFonts w:hint="eastAsia" w:ascii="宋体" w:hAnsi="宋体"/>
          <w:color w:val="auto"/>
          <w:spacing w:val="20"/>
          <w:sz w:val="52"/>
          <w:szCs w:val="52"/>
          <w:highlight w:val="none"/>
        </w:rPr>
      </w:pPr>
    </w:p>
    <w:p>
      <w:pPr>
        <w:tabs>
          <w:tab w:val="right" w:leader="underscore" w:pos="7780"/>
          <w:tab w:val="right" w:leader="underscore" w:pos="7980"/>
        </w:tabs>
        <w:adjustRightInd w:val="0"/>
        <w:snapToGrid w:val="0"/>
        <w:spacing w:line="600" w:lineRule="auto"/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</w:rPr>
        <w:t>项 目 名 称：</w:t>
      </w: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  <w:u w:val="single"/>
        </w:rPr>
        <w:t xml:space="preserve">                </w:t>
      </w:r>
    </w:p>
    <w:p>
      <w:pPr>
        <w:tabs>
          <w:tab w:val="right" w:leader="underscore" w:pos="7780"/>
          <w:tab w:val="right" w:leader="underscore" w:pos="7980"/>
        </w:tabs>
        <w:adjustRightInd w:val="0"/>
        <w:snapToGrid w:val="0"/>
        <w:spacing w:line="600" w:lineRule="auto"/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</w:rPr>
        <w:t>申报单位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(公章)： 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  <w:u w:val="single"/>
        </w:rPr>
        <w:t xml:space="preserve">                </w:t>
      </w:r>
    </w:p>
    <w:p>
      <w:pPr>
        <w:tabs>
          <w:tab w:val="right" w:leader="underscore" w:pos="7780"/>
          <w:tab w:val="right" w:leader="underscore" w:pos="7980"/>
        </w:tabs>
        <w:adjustRightInd w:val="0"/>
        <w:snapToGrid w:val="0"/>
        <w:spacing w:line="600" w:lineRule="auto"/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/>
          <w:color w:val="auto"/>
          <w:spacing w:val="11"/>
          <w:sz w:val="32"/>
          <w:szCs w:val="32"/>
          <w:highlight w:val="none"/>
        </w:rPr>
        <w:t>联 合 单 位（公章）</w:t>
      </w:r>
      <w:r>
        <w:rPr>
          <w:rFonts w:hint="eastAsia" w:ascii="黑体" w:hAnsi="黑体" w:eastAsia="黑体"/>
          <w:color w:val="auto"/>
          <w:spacing w:val="40"/>
          <w:sz w:val="32"/>
          <w:szCs w:val="32"/>
          <w:highlight w:val="none"/>
        </w:rPr>
        <w:t>：</w:t>
      </w: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  <w:u w:val="single"/>
        </w:rPr>
        <w:t xml:space="preserve">                </w:t>
      </w:r>
    </w:p>
    <w:p>
      <w:pPr>
        <w:adjustRightInd w:val="0"/>
        <w:snapToGrid w:val="0"/>
        <w:spacing w:line="600" w:lineRule="auto"/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</w:rPr>
        <w:t>申报日期：</w:t>
      </w: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</w:rPr>
        <w:t>年</w:t>
      </w: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</w:rPr>
        <w:t>月</w:t>
      </w: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</w:rPr>
        <w:t>日</w:t>
      </w:r>
    </w:p>
    <w:p>
      <w:pPr>
        <w:adjustRightInd w:val="0"/>
        <w:snapToGrid w:val="0"/>
        <w:spacing w:line="600" w:lineRule="auto"/>
        <w:jc w:val="center"/>
        <w:rPr>
          <w:rFonts w:hint="eastAsia" w:ascii="黑体" w:hAnsi="黑体" w:eastAsia="黑体"/>
          <w:color w:val="auto"/>
          <w:spacing w:val="8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</w:rPr>
        <w:t>天津市市场监督管理委员会 印制</w:t>
      </w:r>
    </w:p>
    <w:tbl>
      <w:tblPr>
        <w:tblStyle w:val="5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712"/>
        <w:gridCol w:w="543"/>
        <w:gridCol w:w="1416"/>
        <w:gridCol w:w="853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联合单位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（选填）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推荐单位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申报方向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质量共性技术攻关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8"/>
                <w:szCs w:val="24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质量精准提升攻关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申报单位规模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大型 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中型 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小型 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联系人及职务</w:t>
            </w:r>
          </w:p>
        </w:tc>
        <w:tc>
          <w:tcPr>
            <w:tcW w:w="27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联系人手机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项目类型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问题解决型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（聚焦解决现有质量堵点、难点、痛点）</w:t>
            </w:r>
          </w:p>
          <w:p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4"/>
                <w:highlight w:val="none"/>
              </w:rPr>
              <w:sym w:font="Wingdings 2" w:char="F02A"/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创新型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（聚焦质量技术、管理方法等创新突破）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所属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产业链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（划√）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snapToGrid w:val="0"/>
              <w:spacing w:line="400" w:lineRule="exact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脑机接口 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先进计算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智能网联汽车 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协作机器人   </w:t>
            </w:r>
          </w:p>
          <w:p>
            <w:pPr>
              <w:snapToGrid w:val="0"/>
              <w:spacing w:line="400" w:lineRule="exact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生物制造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光伏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新能源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电动自行车 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焊材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车用燃料</w:t>
            </w:r>
          </w:p>
          <w:p>
            <w:pPr>
              <w:snapToGrid w:val="0"/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家装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富硒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8"/>
                <w:szCs w:val="21"/>
                <w:highlight w:val="none"/>
              </w:rPr>
              <w:sym w:font="Wingdings 2" w:char="F02A"/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羽绒制品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sym w:font="Wingdings 2" w:char="F02A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其他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背景意义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（如申报方向为质量共性技术攻关，需阐述产业共性质量问题背景；如为质量精准提升攻关，需阐述具体质量堵点、难点等问题背景）</w:t>
            </w:r>
          </w:p>
          <w:p>
            <w:pPr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70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可行性分析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（</w:t>
            </w:r>
            <w:r>
              <w:rPr>
                <w:rFonts w:ascii="Times New Roman" w:hAnsi="Times New Roman"/>
                <w:color w:val="auto"/>
                <w:highlight w:val="none"/>
              </w:rPr>
              <w:t>可从技术路径、实施保障、资源支撑三方面阐述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）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预期成效</w:t>
            </w:r>
          </w:p>
        </w:tc>
        <w:tc>
          <w:tcPr>
            <w:tcW w:w="7573" w:type="dxa"/>
            <w:gridSpan w:val="5"/>
          </w:tcPr>
          <w:p>
            <w:pPr>
              <w:jc w:val="left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（可从经济效益和社会效益方面进行阐述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，项目实施后预期能达到的成效</w:t>
            </w:r>
            <w:r>
              <w:rPr>
                <w:rFonts w:ascii="Times New Roman" w:hAnsi="Times New Roman"/>
                <w:color w:val="auto"/>
                <w:highlight w:val="none"/>
              </w:rPr>
              <w:t>）</w:t>
            </w:r>
          </w:p>
          <w:p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申报单位意见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我单位申报的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项目，与历年天津市质量攻关优秀成果项目不存在雷同现象。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（公章）</w:t>
            </w:r>
          </w:p>
          <w:p>
            <w:pPr>
              <w:spacing w:line="360" w:lineRule="auto"/>
              <w:ind w:firstLine="4200" w:firstLineChars="175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联合单位意见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我单位与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（申报单位名称）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联合申报的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项目，与历年天津市质量攻关优秀成果项目不存在雷同现象。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（公章）</w:t>
            </w:r>
          </w:p>
          <w:p>
            <w:pPr>
              <w:spacing w:line="360" w:lineRule="auto"/>
              <w:ind w:firstLine="4320" w:firstLineChars="18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widowControl/>
        <w:spacing w:before="240" w:line="400" w:lineRule="exact"/>
        <w:jc w:val="left"/>
        <w:rPr>
          <w:color w:val="auto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注：企业规模请参照《统计上大中小微型企业划分办法(2017)》（国统字〔2017〕213号）的文件填写。</w:t>
      </w:r>
    </w:p>
    <w:sectPr>
      <w:footerReference r:id="rId5" w:type="default"/>
      <w:footerReference r:id="rId6" w:type="even"/>
      <w:pgSz w:w="11906" w:h="16838"/>
      <w:pgMar w:top="2098" w:right="1474" w:bottom="1985" w:left="1587" w:header="851" w:footer="992" w:gutter="0"/>
      <w:cols w:space="720" w:num="1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8" w:rightChars="161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imes New Roman"/>
        <w:sz w:val="28"/>
        <w:szCs w:val="28"/>
      </w:rPr>
      <w:fldChar w:fldCharType="begin"/>
    </w:r>
    <w:r>
      <w:rPr>
        <w:rFonts w:ascii="Times New Roman"/>
        <w:sz w:val="28"/>
        <w:szCs w:val="28"/>
      </w:rPr>
      <w:instrText xml:space="preserve"> PAGE   \* MERGEFORMAT </w:instrText>
    </w:r>
    <w:r>
      <w:rPr>
        <w:rFonts w:ascii="Times New Roman"/>
        <w:sz w:val="28"/>
        <w:szCs w:val="28"/>
      </w:rPr>
      <w:fldChar w:fldCharType="separate"/>
    </w:r>
    <w:r>
      <w:rPr>
        <w:rFonts w:ascii="Times New Roman"/>
        <w:sz w:val="28"/>
        <w:szCs w:val="28"/>
        <w:lang w:val="zh-CN"/>
      </w:rPr>
      <w:t>2</w:t>
    </w:r>
    <w:r>
      <w:rPr>
        <w:rFonts w:asci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81" w:wrap="around" w:vAnchor="text" w:hAnchor="page" w:x="1846" w:y="-342"/>
      <w:rPr>
        <w:rStyle w:val="7"/>
        <w:rFonts w:hint="eastAsia"/>
        <w:sz w:val="21"/>
        <w:szCs w:val="21"/>
      </w:rPr>
    </w:pPr>
    <w:r>
      <w:rPr>
        <w:rStyle w:val="7"/>
        <w:rFonts w:ascii="Times New Roman"/>
        <w:sz w:val="28"/>
        <w:szCs w:val="28"/>
      </w:rPr>
      <w:t>—</w:t>
    </w:r>
    <w:r>
      <w:rPr>
        <w:rFonts w:ascii="Times New Roman"/>
        <w:sz w:val="28"/>
        <w:szCs w:val="28"/>
      </w:rPr>
      <w:fldChar w:fldCharType="begin"/>
    </w:r>
    <w:r>
      <w:rPr>
        <w:rStyle w:val="7"/>
        <w:rFonts w:ascii="Times New Roman"/>
        <w:sz w:val="28"/>
        <w:szCs w:val="28"/>
      </w:rPr>
      <w:instrText xml:space="preserve">PAGE  </w:instrText>
    </w:r>
    <w:r>
      <w:rPr>
        <w:rFonts w:ascii="Times New Roman"/>
        <w:sz w:val="28"/>
        <w:szCs w:val="28"/>
      </w:rPr>
      <w:fldChar w:fldCharType="separate"/>
    </w:r>
    <w:r>
      <w:rPr>
        <w:rStyle w:val="7"/>
        <w:rFonts w:ascii="Times New Roman"/>
        <w:sz w:val="28"/>
        <w:szCs w:val="28"/>
      </w:rPr>
      <w:t>8</w:t>
    </w:r>
    <w:r>
      <w:rPr>
        <w:rFonts w:ascii="Times New Roman"/>
        <w:sz w:val="28"/>
        <w:szCs w:val="28"/>
      </w:rPr>
      <w:fldChar w:fldCharType="end"/>
    </w:r>
    <w:r>
      <w:rPr>
        <w:rStyle w:val="7"/>
        <w:rFonts w:ascii="Times New Roman"/>
        <w:sz w:val="28"/>
        <w:szCs w:val="28"/>
      </w:rPr>
      <w:t>—</w:t>
    </w:r>
  </w:p>
  <w:p>
    <w:pPr>
      <w:pStyle w:val="3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2"/>
  <w:drawingGridHorizontalSpacing w:val="105"/>
  <w:drawingGridVerticalSpacing w:val="31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AC"/>
    <w:rsid w:val="00001275"/>
    <w:rsid w:val="00006279"/>
    <w:rsid w:val="00022012"/>
    <w:rsid w:val="0006499E"/>
    <w:rsid w:val="00083C09"/>
    <w:rsid w:val="000D5CA2"/>
    <w:rsid w:val="00112BAC"/>
    <w:rsid w:val="00122A60"/>
    <w:rsid w:val="00141353"/>
    <w:rsid w:val="00190ADE"/>
    <w:rsid w:val="001C1B65"/>
    <w:rsid w:val="00220C53"/>
    <w:rsid w:val="00251442"/>
    <w:rsid w:val="002B3778"/>
    <w:rsid w:val="00336095"/>
    <w:rsid w:val="00342F17"/>
    <w:rsid w:val="0038636C"/>
    <w:rsid w:val="00395208"/>
    <w:rsid w:val="003C10CE"/>
    <w:rsid w:val="003D3903"/>
    <w:rsid w:val="00410875"/>
    <w:rsid w:val="00411846"/>
    <w:rsid w:val="00421EF7"/>
    <w:rsid w:val="00434907"/>
    <w:rsid w:val="00482DC7"/>
    <w:rsid w:val="0049189D"/>
    <w:rsid w:val="00506259"/>
    <w:rsid w:val="00542565"/>
    <w:rsid w:val="005669BD"/>
    <w:rsid w:val="005679F8"/>
    <w:rsid w:val="00571787"/>
    <w:rsid w:val="005865BB"/>
    <w:rsid w:val="005A726D"/>
    <w:rsid w:val="00661782"/>
    <w:rsid w:val="00681AF1"/>
    <w:rsid w:val="006830B9"/>
    <w:rsid w:val="00685360"/>
    <w:rsid w:val="006D2238"/>
    <w:rsid w:val="007457F2"/>
    <w:rsid w:val="00782435"/>
    <w:rsid w:val="00796A77"/>
    <w:rsid w:val="007F15CF"/>
    <w:rsid w:val="00832BF5"/>
    <w:rsid w:val="00852E4F"/>
    <w:rsid w:val="008A528E"/>
    <w:rsid w:val="008B536D"/>
    <w:rsid w:val="00904429"/>
    <w:rsid w:val="00907B9E"/>
    <w:rsid w:val="00987601"/>
    <w:rsid w:val="009A18F4"/>
    <w:rsid w:val="009F11CB"/>
    <w:rsid w:val="00AE6CF3"/>
    <w:rsid w:val="00AE787A"/>
    <w:rsid w:val="00B304A6"/>
    <w:rsid w:val="00B3151F"/>
    <w:rsid w:val="00B43BC3"/>
    <w:rsid w:val="00B85AA7"/>
    <w:rsid w:val="00BA0197"/>
    <w:rsid w:val="00BC27CC"/>
    <w:rsid w:val="00C70D5D"/>
    <w:rsid w:val="00C722F1"/>
    <w:rsid w:val="00CE5020"/>
    <w:rsid w:val="00D5591D"/>
    <w:rsid w:val="00D96966"/>
    <w:rsid w:val="00DA155A"/>
    <w:rsid w:val="00DA3C63"/>
    <w:rsid w:val="00DA51AC"/>
    <w:rsid w:val="00DE5E79"/>
    <w:rsid w:val="00DE761A"/>
    <w:rsid w:val="00E0160F"/>
    <w:rsid w:val="00E224DF"/>
    <w:rsid w:val="00E95A7A"/>
    <w:rsid w:val="00EB6FE0"/>
    <w:rsid w:val="00F50B38"/>
    <w:rsid w:val="00FB6E0A"/>
    <w:rsid w:val="00FC527E"/>
    <w:rsid w:val="1DFEFC83"/>
    <w:rsid w:val="260D0DCC"/>
    <w:rsid w:val="3FD7E3BD"/>
    <w:rsid w:val="3FEC1FC4"/>
    <w:rsid w:val="4BFF6BBA"/>
    <w:rsid w:val="5E6A58CC"/>
    <w:rsid w:val="5FEFC542"/>
    <w:rsid w:val="6B79F5C8"/>
    <w:rsid w:val="6CFBB0AD"/>
    <w:rsid w:val="6DE6406A"/>
    <w:rsid w:val="6DFFA3AD"/>
    <w:rsid w:val="6FF78E78"/>
    <w:rsid w:val="7377B0EF"/>
    <w:rsid w:val="737EE3DE"/>
    <w:rsid w:val="73B9E7FC"/>
    <w:rsid w:val="75AC16B9"/>
    <w:rsid w:val="77FF9EA2"/>
    <w:rsid w:val="7B7EE039"/>
    <w:rsid w:val="7DEB9E65"/>
    <w:rsid w:val="7EAFC46B"/>
    <w:rsid w:val="7F9D169B"/>
    <w:rsid w:val="7FF79137"/>
    <w:rsid w:val="9E699473"/>
    <w:rsid w:val="A3FFF316"/>
    <w:rsid w:val="BBF7EBA2"/>
    <w:rsid w:val="BF9B45BE"/>
    <w:rsid w:val="CEFFE91E"/>
    <w:rsid w:val="DF721A43"/>
    <w:rsid w:val="E69F584E"/>
    <w:rsid w:val="EF3551E9"/>
    <w:rsid w:val="F1734913"/>
    <w:rsid w:val="F7EB9FB3"/>
    <w:rsid w:val="F7F80A57"/>
    <w:rsid w:val="F8DF015C"/>
    <w:rsid w:val="FA7E916A"/>
    <w:rsid w:val="FDBB9F39"/>
    <w:rsid w:val="FF37FB6B"/>
    <w:rsid w:val="FF5B6506"/>
    <w:rsid w:val="FFD6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qFormat/>
    <w:uiPriority w:val="99"/>
    <w:rPr>
      <w:rFonts w:ascii="仿宋_GB2312" w:hAnsi="Times New Roman" w:eastAsia="仿宋_GB2312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874</Characters>
  <Lines>7</Lines>
  <Paragraphs>2</Paragraphs>
  <TotalTime>0</TotalTime>
  <ScaleCrop>false</ScaleCrop>
  <LinksUpToDate>false</LinksUpToDate>
  <CharactersWithSpaces>1025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2026-03-18T06:02:00Z</dcterms:created>
  <dc:creator>莹 陈</dc:creator>
  <cp:lastModifiedBy>scw</cp:lastModifiedBy>
  <dcterms:modified xsi:type="dcterms:W3CDTF">2026-03-20T18:30:47Z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eyJoZGlkIjoiYmU1OTQyMmJmN2RlYzRlMzY5YTE0Y2ViZWNlODZjMjEiLCJ1c2VySWQiOiIxMjE0MjM0MjIxIn0=</vt:lpwstr>
  </property>
  <property fmtid="{D5CDD505-2E9C-101B-9397-08002B2CF9AE}" pid="4" name="ICV">
    <vt:lpwstr>F9B5AA5795764AFCB18692B9D594664A_12</vt:lpwstr>
  </property>
</Properties>
</file>